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5DE82" w14:textId="77777777" w:rsidR="0087036C" w:rsidRPr="007C757C" w:rsidRDefault="0087036C" w:rsidP="00ED6D97">
      <w:pPr>
        <w:jc w:val="center"/>
        <w:rPr>
          <w:b/>
          <w:sz w:val="22"/>
          <w:szCs w:val="22"/>
          <w:lang w:val="uz-Cyrl-UZ"/>
        </w:rPr>
      </w:pPr>
      <w:bookmarkStart w:id="0" w:name="_Hlk101284392"/>
      <w:bookmarkStart w:id="1" w:name="_Hlk101284634"/>
      <w:bookmarkStart w:id="2" w:name="_Hlk46495347"/>
    </w:p>
    <w:p w14:paraId="44B3E3ED" w14:textId="502B45D8" w:rsidR="0087036C" w:rsidRDefault="0087036C" w:rsidP="00ED6D97">
      <w:pPr>
        <w:jc w:val="center"/>
        <w:rPr>
          <w:b/>
          <w:sz w:val="22"/>
          <w:szCs w:val="22"/>
          <w:lang w:val="uz-Cyrl-UZ"/>
        </w:rPr>
      </w:pPr>
    </w:p>
    <w:p w14:paraId="27235227" w14:textId="11135E1D" w:rsidR="007C757C" w:rsidRDefault="007C757C" w:rsidP="00ED6D97">
      <w:pPr>
        <w:jc w:val="center"/>
        <w:rPr>
          <w:b/>
          <w:sz w:val="22"/>
          <w:szCs w:val="22"/>
          <w:lang w:val="uz-Cyrl-UZ"/>
        </w:rPr>
      </w:pPr>
    </w:p>
    <w:p w14:paraId="2F0E3E00" w14:textId="506D5A12" w:rsidR="007C757C" w:rsidRDefault="007C757C" w:rsidP="00ED6D97">
      <w:pPr>
        <w:jc w:val="center"/>
        <w:rPr>
          <w:b/>
          <w:sz w:val="22"/>
          <w:szCs w:val="22"/>
          <w:lang w:val="uz-Cyrl-UZ"/>
        </w:rPr>
      </w:pPr>
    </w:p>
    <w:p w14:paraId="0E2536BD" w14:textId="77777777" w:rsidR="007C757C" w:rsidRPr="007C757C" w:rsidRDefault="007C757C" w:rsidP="00ED6D97">
      <w:pPr>
        <w:jc w:val="center"/>
        <w:rPr>
          <w:b/>
          <w:sz w:val="22"/>
          <w:szCs w:val="22"/>
          <w:lang w:val="uz-Cyrl-UZ"/>
        </w:rPr>
      </w:pPr>
    </w:p>
    <w:p w14:paraId="314520C8" w14:textId="77777777" w:rsidR="0087036C" w:rsidRPr="007C757C" w:rsidRDefault="0087036C" w:rsidP="00F049BD">
      <w:pPr>
        <w:rPr>
          <w:b/>
          <w:sz w:val="22"/>
          <w:szCs w:val="22"/>
          <w:lang w:val="en-US"/>
        </w:rPr>
      </w:pPr>
    </w:p>
    <w:p w14:paraId="09A0A2F1" w14:textId="77777777" w:rsidR="0087036C" w:rsidRPr="007C757C" w:rsidRDefault="0087036C" w:rsidP="00ED6D97">
      <w:pPr>
        <w:jc w:val="center"/>
        <w:rPr>
          <w:b/>
          <w:sz w:val="22"/>
          <w:szCs w:val="22"/>
          <w:lang w:val="uz-Cyrl-UZ"/>
        </w:rPr>
      </w:pPr>
    </w:p>
    <w:p w14:paraId="7854A669" w14:textId="77777777" w:rsidR="00D34810" w:rsidRPr="007C757C" w:rsidRDefault="00D34810" w:rsidP="00D34810">
      <w:pPr>
        <w:ind w:left="5812"/>
        <w:jc w:val="center"/>
        <w:rPr>
          <w:b/>
          <w:sz w:val="22"/>
          <w:szCs w:val="22"/>
          <w:lang w:val="uz-Cyrl-UZ"/>
        </w:rPr>
      </w:pPr>
      <w:r w:rsidRPr="007C757C">
        <w:rPr>
          <w:b/>
          <w:sz w:val="22"/>
          <w:szCs w:val="22"/>
          <w:lang w:val="uz-Cyrl-UZ"/>
        </w:rPr>
        <w:t>Jamiyat aksiyadorlariga</w:t>
      </w:r>
    </w:p>
    <w:p w14:paraId="3D3BB7BA" w14:textId="6280F3CB" w:rsidR="0087036C" w:rsidRPr="007C757C" w:rsidRDefault="00D34810" w:rsidP="00D34810">
      <w:pPr>
        <w:ind w:left="5812"/>
        <w:jc w:val="center"/>
        <w:rPr>
          <w:b/>
          <w:sz w:val="22"/>
          <w:szCs w:val="22"/>
          <w:lang w:val="en-US"/>
        </w:rPr>
      </w:pPr>
      <w:r w:rsidRPr="007C757C">
        <w:rPr>
          <w:b/>
          <w:sz w:val="22"/>
          <w:szCs w:val="22"/>
          <w:lang w:val="uz-Cyrl-UZ"/>
        </w:rPr>
        <w:t>(ro‘yxat bo‘yicha)</w:t>
      </w:r>
    </w:p>
    <w:p w14:paraId="376CB10B" w14:textId="77777777" w:rsidR="0087036C" w:rsidRPr="007C757C" w:rsidRDefault="0087036C" w:rsidP="00ED6D97">
      <w:pPr>
        <w:jc w:val="center"/>
        <w:rPr>
          <w:b/>
          <w:sz w:val="22"/>
          <w:szCs w:val="22"/>
          <w:lang w:val="uz-Cyrl-UZ"/>
        </w:rPr>
      </w:pPr>
    </w:p>
    <w:bookmarkEnd w:id="0"/>
    <w:bookmarkEnd w:id="1"/>
    <w:bookmarkEnd w:id="2"/>
    <w:p w14:paraId="2012CEBE" w14:textId="77777777" w:rsidR="00F049BD" w:rsidRPr="007C757C" w:rsidRDefault="00F049BD" w:rsidP="00F049BD">
      <w:pPr>
        <w:jc w:val="center"/>
        <w:rPr>
          <w:b/>
          <w:sz w:val="22"/>
          <w:szCs w:val="22"/>
          <w:lang w:val="uz-Latn-UZ"/>
        </w:rPr>
      </w:pPr>
      <w:r w:rsidRPr="007C757C">
        <w:rPr>
          <w:b/>
          <w:sz w:val="22"/>
          <w:szCs w:val="22"/>
          <w:lang w:val="uz-Latn-UZ"/>
        </w:rPr>
        <w:t>«EUROASIA INSURANCE» Aksiyadorlik jamiyati qo‘shma korxonasi aksiyadorlarining navbatdagi yillik Umumiy yig‘ilishi o‘tkazilishi to‘g‘risida XABARNOMA</w:t>
      </w:r>
    </w:p>
    <w:p w14:paraId="0C920B92" w14:textId="77777777" w:rsidR="00F049BD" w:rsidRPr="007C757C" w:rsidRDefault="00F049BD" w:rsidP="00F049BD">
      <w:pPr>
        <w:jc w:val="both"/>
        <w:rPr>
          <w:b/>
          <w:sz w:val="22"/>
          <w:szCs w:val="22"/>
          <w:lang w:val="uz-Latn-UZ"/>
        </w:rPr>
      </w:pPr>
    </w:p>
    <w:p w14:paraId="59D28A86" w14:textId="195F7367" w:rsidR="00F049BD" w:rsidRPr="007C757C" w:rsidRDefault="00F049BD" w:rsidP="00F049BD">
      <w:pPr>
        <w:ind w:firstLine="567"/>
        <w:jc w:val="both"/>
        <w:rPr>
          <w:sz w:val="22"/>
          <w:szCs w:val="22"/>
          <w:lang w:val="uz-Latn-UZ"/>
        </w:rPr>
      </w:pPr>
      <w:r w:rsidRPr="007C757C">
        <w:rPr>
          <w:sz w:val="22"/>
          <w:szCs w:val="22"/>
          <w:lang w:val="uz-Latn-UZ"/>
        </w:rPr>
        <w:t>«EUROASIA INSURANCE» Aksiyadorlik jamiyati Qo‘shma korxonasi Kuzatuv kengashining 2026 yil 2</w:t>
      </w:r>
      <w:r w:rsidR="007C757C">
        <w:rPr>
          <w:sz w:val="22"/>
          <w:szCs w:val="22"/>
          <w:lang w:val="uz-Latn-UZ"/>
        </w:rPr>
        <w:t>8</w:t>
      </w:r>
      <w:r w:rsidRPr="007C757C">
        <w:rPr>
          <w:sz w:val="22"/>
          <w:szCs w:val="22"/>
          <w:lang w:val="uz-Latn-UZ"/>
        </w:rPr>
        <w:t xml:space="preserve"> apreldagi qaroriga asosan Jamiyat aksiyadorlarining navbatdagi yillik Umumiy yig‘ilishi 2026 yil 2</w:t>
      </w:r>
      <w:r w:rsidR="007C757C">
        <w:rPr>
          <w:sz w:val="22"/>
          <w:szCs w:val="22"/>
          <w:lang w:val="uz-Latn-UZ"/>
        </w:rPr>
        <w:t>1</w:t>
      </w:r>
      <w:r w:rsidRPr="007C757C">
        <w:rPr>
          <w:sz w:val="22"/>
          <w:szCs w:val="22"/>
          <w:lang w:val="uz-Latn-UZ"/>
        </w:rPr>
        <w:t xml:space="preserve"> may kuni Toshkent shahri, Yunusobod tumani, Abdulla Qodiriy ko‘chasi, 3-A uyda joylashgan Jamiyat ma’muriy binosining majlislar zalida o‘tkaziladi.</w:t>
      </w:r>
    </w:p>
    <w:p w14:paraId="7D191024" w14:textId="0712D6AA" w:rsidR="00F049BD" w:rsidRPr="007C757C" w:rsidRDefault="00F049BD" w:rsidP="00F049BD">
      <w:pPr>
        <w:ind w:firstLine="567"/>
        <w:jc w:val="both"/>
        <w:rPr>
          <w:sz w:val="22"/>
          <w:szCs w:val="22"/>
          <w:lang w:val="uz-Latn-UZ"/>
        </w:rPr>
      </w:pPr>
      <w:r w:rsidRPr="007C757C">
        <w:rPr>
          <w:sz w:val="22"/>
          <w:szCs w:val="22"/>
          <w:lang w:val="uz-Latn-UZ"/>
        </w:rPr>
        <w:t>Yig‘ilish soat 11:00 da boshlanadi. Aksiyadorlarni ro‘yxatga olish soat 10:00 dan boshlanadi va 10:50 da tugatiladi. Umumiy yig‘ilish o‘tkazilishi haqida xabar berish uchun Jamiyat aksiyadorlari reestri 2026 yil 2</w:t>
      </w:r>
      <w:r w:rsidR="007C757C">
        <w:rPr>
          <w:sz w:val="22"/>
          <w:szCs w:val="22"/>
          <w:lang w:val="uz-Latn-UZ"/>
        </w:rPr>
        <w:t>8</w:t>
      </w:r>
      <w:r w:rsidRPr="007C757C">
        <w:rPr>
          <w:sz w:val="22"/>
          <w:szCs w:val="22"/>
          <w:lang w:val="uz-Latn-UZ"/>
        </w:rPr>
        <w:t xml:space="preserve"> aprel holatiga, yig‘ilishda qatnashish uchun esa 2026 yil 1</w:t>
      </w:r>
      <w:r w:rsidR="007C757C">
        <w:rPr>
          <w:sz w:val="22"/>
          <w:szCs w:val="22"/>
          <w:lang w:val="uz-Latn-UZ"/>
        </w:rPr>
        <w:t>5</w:t>
      </w:r>
      <w:r w:rsidRPr="007C757C">
        <w:rPr>
          <w:sz w:val="22"/>
          <w:szCs w:val="22"/>
          <w:lang w:val="uz-Latn-UZ"/>
        </w:rPr>
        <w:t xml:space="preserve"> may holatiga tuziladi.</w:t>
      </w:r>
    </w:p>
    <w:p w14:paraId="458D30A3" w14:textId="77777777" w:rsidR="00F049BD" w:rsidRPr="007C757C" w:rsidRDefault="00F049BD" w:rsidP="00F049BD">
      <w:pPr>
        <w:rPr>
          <w:b/>
          <w:sz w:val="22"/>
          <w:szCs w:val="22"/>
          <w:lang w:val="uz-Latn-UZ"/>
        </w:rPr>
      </w:pPr>
    </w:p>
    <w:p w14:paraId="548FA4EC" w14:textId="77777777" w:rsidR="00F049BD" w:rsidRPr="007C757C" w:rsidRDefault="00F049BD" w:rsidP="00F049BD">
      <w:pPr>
        <w:jc w:val="center"/>
        <w:rPr>
          <w:b/>
          <w:sz w:val="22"/>
          <w:szCs w:val="22"/>
          <w:lang w:val="uz-Latn-UZ"/>
        </w:rPr>
      </w:pPr>
      <w:r w:rsidRPr="007C757C">
        <w:rPr>
          <w:b/>
          <w:sz w:val="22"/>
          <w:szCs w:val="22"/>
          <w:lang w:val="uz-Latn-UZ"/>
        </w:rPr>
        <w:t>Kun tartibi:</w:t>
      </w:r>
    </w:p>
    <w:p w14:paraId="25B6C50E" w14:textId="77777777" w:rsidR="00F049BD" w:rsidRPr="007C757C" w:rsidRDefault="00F049BD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Sanoq komissiyasi a’zolari tarkibini tasdiqlash to‘g‘risida.</w:t>
      </w:r>
    </w:p>
    <w:p w14:paraId="6FB28353" w14:textId="77777777" w:rsidR="00F049BD" w:rsidRPr="007C757C" w:rsidRDefault="00F049BD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Jamiyat aksiyadorlari umumiy yig‘ilishining reglamentini tasdiqlash.</w:t>
      </w:r>
    </w:p>
    <w:p w14:paraId="2E64EDCE" w14:textId="77777777" w:rsidR="00F049BD" w:rsidRPr="007C757C" w:rsidRDefault="00F049BD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Jamiyat Kuzatuv kengashining 2025-yil yakunlari bo‘yicha hisobotini tasdiqlash.</w:t>
      </w:r>
    </w:p>
    <w:p w14:paraId="7103CBFA" w14:textId="77777777" w:rsidR="00F049BD" w:rsidRPr="007C757C" w:rsidRDefault="00F049BD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Jamiyat faoliyatining 2025-yil yakunlari bo‘yicha yillik hisobotini va 2025-yil uchun biznes-reja parametrlarining bajarilishi to‘g‘risidagi hisobot hamda 2025-yil yakuni bo‘yicha tashqi auditorlik tashkilotining xulosalarini tasdiqlash to‘g‘risida.</w:t>
      </w:r>
    </w:p>
    <w:p w14:paraId="39B53559" w14:textId="12EE2439" w:rsidR="00F049BD" w:rsidRPr="007C757C" w:rsidRDefault="00F049BD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Jamiyat tomonidan 202</w:t>
      </w:r>
      <w:r w:rsidR="00D31A99">
        <w:rPr>
          <w:rFonts w:eastAsia="Times New Roman"/>
          <w:i/>
          <w:iCs/>
          <w:sz w:val="22"/>
          <w:szCs w:val="22"/>
          <w:lang w:val="en-US"/>
        </w:rPr>
        <w:t>5</w:t>
      </w:r>
      <w:r w:rsidRPr="007C757C">
        <w:rPr>
          <w:rFonts w:eastAsia="Times New Roman"/>
          <w:i/>
          <w:iCs/>
          <w:sz w:val="22"/>
          <w:szCs w:val="22"/>
          <w:lang w:val="uz-Cyrl-UZ"/>
        </w:rPr>
        <w:t>-yilda olingan sof foydani taqsimlash to‘g‘risida.</w:t>
      </w:r>
    </w:p>
    <w:p w14:paraId="77CC772A" w14:textId="07CA1F12" w:rsidR="00F049BD" w:rsidRPr="007C757C" w:rsidRDefault="00F049BD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“</w:t>
      </w:r>
      <w:r w:rsidR="00901B20" w:rsidRPr="007C757C">
        <w:rPr>
          <w:rFonts w:eastAsia="Times New Roman"/>
          <w:i/>
          <w:iCs/>
          <w:sz w:val="22"/>
          <w:szCs w:val="22"/>
          <w:lang w:val="uz-Cyrl-UZ"/>
        </w:rPr>
        <w:t>Bastom Audit</w:t>
      </w:r>
      <w:r w:rsidRPr="007C757C">
        <w:rPr>
          <w:rFonts w:eastAsia="Times New Roman"/>
          <w:i/>
          <w:iCs/>
          <w:sz w:val="22"/>
          <w:szCs w:val="22"/>
          <w:lang w:val="uz-Cyrl-UZ"/>
        </w:rPr>
        <w:t>” MChJ auditorlik tashkiloti tomonidan Jamiyat faoliyatining 2026-yil I-chorak yakunlari bo‘yicha tuzilgan audit xulosasini tasdiqlash.</w:t>
      </w:r>
    </w:p>
    <w:p w14:paraId="7A046C4F" w14:textId="24A44EB2" w:rsidR="00F049BD" w:rsidRPr="007C757C" w:rsidRDefault="00F049BD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202</w:t>
      </w:r>
      <w:r w:rsidR="00D31A99">
        <w:rPr>
          <w:rFonts w:eastAsia="Times New Roman"/>
          <w:i/>
          <w:iCs/>
          <w:sz w:val="22"/>
          <w:szCs w:val="22"/>
          <w:lang w:val="en-US"/>
        </w:rPr>
        <w:t>6</w:t>
      </w:r>
      <w:bookmarkStart w:id="3" w:name="_GoBack"/>
      <w:bookmarkEnd w:id="3"/>
      <w:r w:rsidRPr="007C757C">
        <w:rPr>
          <w:rFonts w:eastAsia="Times New Roman"/>
          <w:i/>
          <w:iCs/>
          <w:sz w:val="22"/>
          <w:szCs w:val="22"/>
          <w:lang w:val="uz-Cyrl-UZ"/>
        </w:rPr>
        <w:t>-yil I</w:t>
      </w:r>
      <w:r w:rsidRPr="007C757C">
        <w:rPr>
          <w:rFonts w:eastAsia="Times New Roman"/>
          <w:i/>
          <w:iCs/>
          <w:sz w:val="22"/>
          <w:szCs w:val="22"/>
          <w:lang w:val="en-US"/>
        </w:rPr>
        <w:t>-chorak</w:t>
      </w:r>
      <w:r w:rsidRPr="007C757C">
        <w:rPr>
          <w:rFonts w:eastAsia="Times New Roman"/>
          <w:i/>
          <w:iCs/>
          <w:sz w:val="22"/>
          <w:szCs w:val="22"/>
          <w:lang w:val="uz-Cyrl-UZ"/>
        </w:rPr>
        <w:t xml:space="preserve"> yakunlari bo‘yicha Jamiyatning imtiyozli aksiyalariga dividend to‘lash to‘g‘risida.</w:t>
      </w:r>
    </w:p>
    <w:p w14:paraId="16BBFBD4" w14:textId="77777777" w:rsidR="00F049BD" w:rsidRPr="007C757C" w:rsidRDefault="00F049BD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Jamiyatning Boshqaruv raisi va a’zolarining vakolat muddatini uzaytirish to‘g‘risida.</w:t>
      </w:r>
    </w:p>
    <w:p w14:paraId="44B8A17F" w14:textId="77777777" w:rsidR="00F049BD" w:rsidRPr="007C757C" w:rsidRDefault="00F049BD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Jamiyat aksiyadorlarining navbatdagi yillik Umumiy yig‘ilishigacha bo‘lgan davrda affillangan shaxslar bilan joriy xo‘jalik faoliyati jarayonida tuzilishi mumkin bo‘lgan bitimlarni oldindan ma’qullash to‘g‘risida.</w:t>
      </w:r>
    </w:p>
    <w:p w14:paraId="7A1868CA" w14:textId="77777777" w:rsidR="00F049BD" w:rsidRPr="007C757C" w:rsidRDefault="00F049BD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O‘zbekiston Respublikasi buxgalteriya hisobining milliy standarti va Xalqaro moliyaviy hisobot standartlariga muvofiq majburiy tashqi auditni o‘tkazish maqsadida 2026-yil uchun auditorlik tashkilotini tanlash va uning xizmatiga to‘lanadigan haq miqdorini belgilash to‘g‘risida.</w:t>
      </w:r>
    </w:p>
    <w:p w14:paraId="632E2D8B" w14:textId="0B6EE3DD" w:rsidR="00C53C67" w:rsidRPr="007C757C" w:rsidRDefault="00C53C67" w:rsidP="00F049BD">
      <w:pPr>
        <w:pStyle w:val="a4"/>
        <w:numPr>
          <w:ilvl w:val="1"/>
          <w:numId w:val="5"/>
        </w:numPr>
        <w:tabs>
          <w:tab w:val="left" w:pos="457"/>
        </w:tabs>
        <w:spacing w:line="276" w:lineRule="auto"/>
        <w:ind w:left="0" w:firstLine="313"/>
        <w:jc w:val="both"/>
        <w:rPr>
          <w:rFonts w:eastAsia="Times New Roman"/>
          <w:i/>
          <w:iCs/>
          <w:sz w:val="22"/>
          <w:szCs w:val="22"/>
          <w:lang w:val="uz-Cyrl-UZ"/>
        </w:rPr>
      </w:pPr>
      <w:r w:rsidRPr="007C757C">
        <w:rPr>
          <w:rFonts w:eastAsia="Times New Roman"/>
          <w:i/>
          <w:iCs/>
          <w:sz w:val="22"/>
          <w:szCs w:val="22"/>
          <w:lang w:val="uz-Cyrl-UZ"/>
        </w:rPr>
        <w:t>Homiylik (xayriya) yoki beg‘araz yordam ko‘rsatishning eng yuqori miqdorini belgilash to‘g‘risida.</w:t>
      </w:r>
    </w:p>
    <w:p w14:paraId="1578FD8E" w14:textId="77777777" w:rsidR="00F049BD" w:rsidRPr="007C757C" w:rsidRDefault="00F049BD" w:rsidP="00F049BD">
      <w:pPr>
        <w:tabs>
          <w:tab w:val="left" w:pos="1134"/>
        </w:tabs>
        <w:ind w:firstLine="567"/>
        <w:jc w:val="both"/>
        <w:rPr>
          <w:i/>
          <w:sz w:val="22"/>
          <w:szCs w:val="22"/>
          <w:lang w:val="uz-Latn-UZ"/>
        </w:rPr>
      </w:pPr>
    </w:p>
    <w:p w14:paraId="5DA3E0EA" w14:textId="77777777" w:rsidR="00F049BD" w:rsidRPr="007C757C" w:rsidRDefault="00F049BD" w:rsidP="00F049BD">
      <w:pPr>
        <w:ind w:firstLine="567"/>
        <w:jc w:val="both"/>
        <w:rPr>
          <w:sz w:val="22"/>
          <w:szCs w:val="22"/>
          <w:lang w:val="uz-Latn-UZ"/>
        </w:rPr>
      </w:pPr>
      <w:r w:rsidRPr="007C757C">
        <w:rPr>
          <w:sz w:val="22"/>
          <w:szCs w:val="22"/>
          <w:lang w:val="uz-Latn-UZ"/>
        </w:rPr>
        <w:t>Aksiyadorlarning Umumiy yig‘ilishida qatnashish va ovoz berish uchun aksiyadorlarda shaxsni tasdiqlovchi hujjat, aksiyadorlar vakillarida esa qonunchilikda belgilangan tartibda rasmiylashtirilgan ishonchnoma bo‘lishi shart.</w:t>
      </w:r>
    </w:p>
    <w:p w14:paraId="72F850EA" w14:textId="77777777" w:rsidR="00F049BD" w:rsidRPr="007C757C" w:rsidRDefault="00F049BD" w:rsidP="00F049BD">
      <w:pPr>
        <w:ind w:firstLine="567"/>
        <w:jc w:val="both"/>
        <w:rPr>
          <w:sz w:val="22"/>
          <w:szCs w:val="22"/>
          <w:lang w:val="uz-Latn-UZ"/>
        </w:rPr>
      </w:pPr>
      <w:r w:rsidRPr="007C757C">
        <w:rPr>
          <w:sz w:val="22"/>
          <w:szCs w:val="22"/>
          <w:lang w:val="uz-Latn-UZ"/>
        </w:rPr>
        <w:t>Aksiyadorlar Umumiy yig‘ilishda ko‘rib chiqiladigan masalalar bo‘yicha ma’lumot va materiallar bilan Toshkent shahri, Yunusobod tumani, Abdulla Qodiriy ko‘chasi, 3-A uyda joylashgan Jamiyat binosida ushbu e’lon berilgan kundan boshlab yig‘ilish o‘tkaziladigan kungacha soat 10:00 dan 17:00 gacha tanishishlari mumkin.</w:t>
      </w:r>
    </w:p>
    <w:p w14:paraId="0207DCDC" w14:textId="3B450E07" w:rsidR="00D34810" w:rsidRPr="007C757C" w:rsidRDefault="00F049BD" w:rsidP="00F049BD">
      <w:pPr>
        <w:ind w:firstLine="567"/>
        <w:jc w:val="both"/>
        <w:rPr>
          <w:sz w:val="22"/>
          <w:szCs w:val="22"/>
          <w:lang w:val="uz-Cyrl-UZ"/>
        </w:rPr>
      </w:pPr>
      <w:r w:rsidRPr="007C757C">
        <w:rPr>
          <w:sz w:val="22"/>
          <w:szCs w:val="22"/>
          <w:lang w:val="uz-Latn-UZ"/>
        </w:rPr>
        <w:t>Elektron pochta manzili: info@eai.uz</w:t>
      </w:r>
    </w:p>
    <w:p w14:paraId="56F98D0F" w14:textId="3EA566AB" w:rsidR="0087036C" w:rsidRPr="007C757C" w:rsidRDefault="0087036C" w:rsidP="0087036C">
      <w:pPr>
        <w:ind w:firstLine="567"/>
        <w:jc w:val="both"/>
        <w:rPr>
          <w:sz w:val="22"/>
          <w:szCs w:val="22"/>
          <w:lang w:val="uz-Cyrl-UZ"/>
        </w:rPr>
      </w:pPr>
    </w:p>
    <w:p w14:paraId="1C95B63E" w14:textId="77777777" w:rsidR="0087036C" w:rsidRPr="007C757C" w:rsidRDefault="0087036C" w:rsidP="0087036C">
      <w:pPr>
        <w:ind w:firstLine="567"/>
        <w:jc w:val="both"/>
        <w:rPr>
          <w:b/>
          <w:sz w:val="22"/>
          <w:szCs w:val="22"/>
          <w:lang w:val="uz-Cyrl-UZ"/>
        </w:rPr>
      </w:pPr>
    </w:p>
    <w:p w14:paraId="4996C21B" w14:textId="77777777" w:rsidR="00D14538" w:rsidRPr="007C757C" w:rsidRDefault="00D14538" w:rsidP="00D14538">
      <w:pPr>
        <w:autoSpaceDE w:val="0"/>
        <w:autoSpaceDN w:val="0"/>
        <w:adjustRightInd w:val="0"/>
        <w:ind w:firstLine="540"/>
        <w:rPr>
          <w:b/>
          <w:sz w:val="22"/>
          <w:szCs w:val="22"/>
          <w:lang w:val="uz-Cyrl-UZ"/>
        </w:rPr>
      </w:pPr>
      <w:r w:rsidRPr="007C757C">
        <w:rPr>
          <w:b/>
          <w:sz w:val="22"/>
          <w:szCs w:val="22"/>
          <w:lang w:val="uz-Cyrl-UZ"/>
        </w:rPr>
        <w:t>«EUROASIA INSURANCE» AJ QK</w:t>
      </w:r>
    </w:p>
    <w:p w14:paraId="6A608F60" w14:textId="0EDD45DD" w:rsidR="0087036C" w:rsidRPr="007C757C" w:rsidRDefault="00F34C0C" w:rsidP="00D14538">
      <w:pPr>
        <w:ind w:firstLine="567"/>
        <w:jc w:val="both"/>
        <w:rPr>
          <w:sz w:val="22"/>
          <w:szCs w:val="22"/>
          <w:lang w:val="uz-Cyrl-UZ"/>
        </w:rPr>
      </w:pPr>
      <w:r w:rsidRPr="007C757C">
        <w:rPr>
          <w:b/>
          <w:sz w:val="22"/>
          <w:szCs w:val="22"/>
          <w:lang w:val="uz-Cyrl-UZ"/>
        </w:rPr>
        <w:t>Boshqaruv Raisi</w:t>
      </w:r>
      <w:r w:rsidRPr="007C757C">
        <w:rPr>
          <w:b/>
          <w:sz w:val="22"/>
          <w:szCs w:val="22"/>
          <w:lang w:val="en-US"/>
        </w:rPr>
        <w:t xml:space="preserve">                             </w:t>
      </w:r>
      <w:r w:rsidR="00D14538" w:rsidRPr="007C757C">
        <w:rPr>
          <w:b/>
          <w:sz w:val="22"/>
          <w:szCs w:val="22"/>
          <w:lang w:val="uz-Cyrl-UZ"/>
        </w:rPr>
        <w:tab/>
      </w:r>
      <w:r w:rsidR="00D14538" w:rsidRPr="007C757C">
        <w:rPr>
          <w:b/>
          <w:sz w:val="22"/>
          <w:szCs w:val="22"/>
          <w:lang w:val="uz-Cyrl-UZ"/>
        </w:rPr>
        <w:tab/>
        <w:t xml:space="preserve">           </w:t>
      </w:r>
      <w:r w:rsidR="00375173" w:rsidRPr="007C757C">
        <w:rPr>
          <w:b/>
          <w:sz w:val="22"/>
          <w:szCs w:val="22"/>
          <w:lang w:val="en-US"/>
        </w:rPr>
        <w:t xml:space="preserve">                   </w:t>
      </w:r>
      <w:r w:rsidR="00D14538" w:rsidRPr="007C757C">
        <w:rPr>
          <w:b/>
          <w:sz w:val="22"/>
          <w:szCs w:val="22"/>
          <w:lang w:val="uz-Cyrl-UZ"/>
        </w:rPr>
        <w:t xml:space="preserve">  </w:t>
      </w:r>
      <w:r w:rsidR="00D14538" w:rsidRPr="007C757C">
        <w:rPr>
          <w:b/>
          <w:sz w:val="22"/>
          <w:szCs w:val="22"/>
          <w:lang w:val="en-US"/>
        </w:rPr>
        <w:t>J.A. Temirov</w:t>
      </w:r>
    </w:p>
    <w:sectPr w:rsidR="0087036C" w:rsidRPr="007C757C" w:rsidSect="00894D35">
      <w:pgSz w:w="11906" w:h="16838"/>
      <w:pgMar w:top="1134" w:right="1134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A3E16"/>
    <w:multiLevelType w:val="multilevel"/>
    <w:tmpl w:val="BA249D8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lang w:val="uz-Latn-UZ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2574FE0"/>
    <w:multiLevelType w:val="hybridMultilevel"/>
    <w:tmpl w:val="9ED4AD48"/>
    <w:lvl w:ilvl="0" w:tplc="290AD1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566C6"/>
    <w:multiLevelType w:val="hybridMultilevel"/>
    <w:tmpl w:val="8012D32C"/>
    <w:lvl w:ilvl="0" w:tplc="42BC7A70">
      <w:start w:val="1"/>
      <w:numFmt w:val="decimal"/>
      <w:lvlText w:val="%1."/>
      <w:lvlJc w:val="left"/>
      <w:pPr>
        <w:ind w:left="987" w:hanging="420"/>
      </w:pPr>
    </w:lvl>
    <w:lvl w:ilvl="1" w:tplc="165E59E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B31180"/>
    <w:multiLevelType w:val="hybridMultilevel"/>
    <w:tmpl w:val="7BE8110A"/>
    <w:lvl w:ilvl="0" w:tplc="159424C8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43"/>
    <w:rsid w:val="000B2BFF"/>
    <w:rsid w:val="0011287C"/>
    <w:rsid w:val="00163DAD"/>
    <w:rsid w:val="0017344D"/>
    <w:rsid w:val="00311FE8"/>
    <w:rsid w:val="00375173"/>
    <w:rsid w:val="003C55A1"/>
    <w:rsid w:val="003E4A30"/>
    <w:rsid w:val="004365B6"/>
    <w:rsid w:val="00443811"/>
    <w:rsid w:val="005149E7"/>
    <w:rsid w:val="0058045B"/>
    <w:rsid w:val="005A74C0"/>
    <w:rsid w:val="005D56BF"/>
    <w:rsid w:val="0061731B"/>
    <w:rsid w:val="006656B8"/>
    <w:rsid w:val="00785A0D"/>
    <w:rsid w:val="007C757C"/>
    <w:rsid w:val="007D2069"/>
    <w:rsid w:val="007D6B1B"/>
    <w:rsid w:val="00811E69"/>
    <w:rsid w:val="008339A2"/>
    <w:rsid w:val="0087036C"/>
    <w:rsid w:val="00894D35"/>
    <w:rsid w:val="00896F00"/>
    <w:rsid w:val="00901B20"/>
    <w:rsid w:val="009510BD"/>
    <w:rsid w:val="009A058E"/>
    <w:rsid w:val="00A065C5"/>
    <w:rsid w:val="00A64FA9"/>
    <w:rsid w:val="00A81669"/>
    <w:rsid w:val="00A973F5"/>
    <w:rsid w:val="00AA0171"/>
    <w:rsid w:val="00AA2FA4"/>
    <w:rsid w:val="00AF1701"/>
    <w:rsid w:val="00B5098D"/>
    <w:rsid w:val="00B7609C"/>
    <w:rsid w:val="00C53C67"/>
    <w:rsid w:val="00CB68F5"/>
    <w:rsid w:val="00CF7043"/>
    <w:rsid w:val="00D14538"/>
    <w:rsid w:val="00D31A99"/>
    <w:rsid w:val="00D34810"/>
    <w:rsid w:val="00D52D8A"/>
    <w:rsid w:val="00DD20BE"/>
    <w:rsid w:val="00E63852"/>
    <w:rsid w:val="00ED6D97"/>
    <w:rsid w:val="00EF64ED"/>
    <w:rsid w:val="00F049BD"/>
    <w:rsid w:val="00F072B0"/>
    <w:rsid w:val="00F1025F"/>
    <w:rsid w:val="00F34C0C"/>
    <w:rsid w:val="00FC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1DD9"/>
  <w15:chartTrackingRefBased/>
  <w15:docId w15:val="{B87519DC-C6ED-429F-94DA-14A1CBDE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85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36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99"/>
    <w:qFormat/>
    <w:rsid w:val="00A81669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F049BD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Анвар Абдуманнапович</dc:creator>
  <cp:keywords/>
  <dc:description/>
  <cp:lastModifiedBy>ulugbek.mamatkulov</cp:lastModifiedBy>
  <cp:revision>3</cp:revision>
  <cp:lastPrinted>2026-04-29T04:24:00Z</cp:lastPrinted>
  <dcterms:created xsi:type="dcterms:W3CDTF">2026-04-29T05:11:00Z</dcterms:created>
  <dcterms:modified xsi:type="dcterms:W3CDTF">2026-04-30T05:05:00Z</dcterms:modified>
</cp:coreProperties>
</file>